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pPr>
      <w:r>
        <w:rPr>
          <w:rFonts w:hint="eastAsia" w:ascii="黑体" w:hAnsi="黑体" w:eastAsia="黑体"/>
          <w:bCs w:val="0"/>
          <w:sz w:val="44"/>
          <w:szCs w:val="44"/>
        </w:rPr>
        <w:t>校企合作框架协议</w:t>
      </w:r>
    </w:p>
    <w:p>
      <w:pPr>
        <w:jc w:val="center"/>
        <w:rPr>
          <w:rFonts w:asciiTheme="minorEastAsia"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甲方：厦门兴才职业技术学院</w:t>
      </w:r>
      <w:r>
        <w:rPr>
          <w:rFonts w:hint="eastAsia" w:ascii="仿宋_GB2312" w:hAnsi="黑体" w:eastAsia="仿宋_GB2312"/>
          <w:bCs/>
          <w:sz w:val="28"/>
          <w:szCs w:val="28"/>
        </w:rPr>
        <w:t>（以下简称甲方）</w:t>
      </w:r>
    </w:p>
    <w:p>
      <w:pPr>
        <w:rPr>
          <w:rFonts w:ascii="仿宋_GB2312" w:eastAsia="仿宋_GB2312" w:hAnsiTheme="minorEastAsia"/>
          <w:sz w:val="28"/>
          <w:szCs w:val="28"/>
        </w:rPr>
      </w:pPr>
      <w:r>
        <w:rPr>
          <w:rFonts w:hint="eastAsia" w:ascii="仿宋_GB2312" w:eastAsia="仿宋_GB2312" w:hAnsiTheme="minorEastAsia"/>
          <w:sz w:val="28"/>
          <w:szCs w:val="28"/>
        </w:rPr>
        <w:t>地址：厦门市集美区后溪镇兴溪路879-889号</w:t>
      </w:r>
    </w:p>
    <w:p>
      <w:pPr>
        <w:rPr>
          <w:rFonts w:ascii="仿宋_GB2312" w:eastAsia="仿宋_GB2312" w:hAnsiTheme="minorEastAsia"/>
          <w:sz w:val="28"/>
          <w:szCs w:val="28"/>
        </w:rPr>
      </w:pPr>
    </w:p>
    <w:p>
      <w:pPr>
        <w:rPr>
          <w:rFonts w:ascii="仿宋_GB2312" w:eastAsia="仿宋_GB2312" w:hAnsiTheme="minorEastAsia"/>
          <w:sz w:val="28"/>
          <w:szCs w:val="28"/>
        </w:rPr>
      </w:pPr>
      <w:r>
        <w:rPr>
          <w:rFonts w:hint="eastAsia" w:ascii="仿宋_GB2312" w:eastAsia="仿宋_GB2312" w:hAnsiTheme="minorEastAsia"/>
          <w:sz w:val="28"/>
          <w:szCs w:val="28"/>
        </w:rPr>
        <w:t>乙方：____________________</w:t>
      </w:r>
      <w:r>
        <w:rPr>
          <w:rFonts w:hint="eastAsia" w:ascii="仿宋_GB2312" w:hAnsi="黑体" w:eastAsia="仿宋_GB2312"/>
          <w:bCs/>
          <w:sz w:val="28"/>
          <w:szCs w:val="28"/>
        </w:rPr>
        <w:t>（以下简称乙方）</w:t>
      </w:r>
    </w:p>
    <w:p>
      <w:pPr>
        <w:rPr>
          <w:rFonts w:ascii="仿宋_GB2312" w:eastAsia="仿宋_GB2312" w:hAnsiTheme="minorEastAsia"/>
          <w:sz w:val="28"/>
          <w:szCs w:val="28"/>
        </w:rPr>
      </w:pPr>
      <w:r>
        <w:rPr>
          <w:rFonts w:hint="eastAsia" w:ascii="仿宋_GB2312" w:eastAsia="仿宋_GB2312" w:hAnsiTheme="minorEastAsia"/>
          <w:sz w:val="28"/>
          <w:szCs w:val="28"/>
        </w:rPr>
        <w:t>地址：</w:t>
      </w:r>
    </w:p>
    <w:p>
      <w:pPr>
        <w:ind w:firstLine="480"/>
        <w:rPr>
          <w:rFonts w:ascii="仿宋_GB2312" w:eastAsia="仿宋_GB2312" w:hAnsiTheme="minorEastAsia"/>
          <w:sz w:val="28"/>
          <w:szCs w:val="28"/>
        </w:rPr>
      </w:pPr>
      <w:r>
        <w:rPr>
          <w:rFonts w:hint="eastAsia" w:ascii="仿宋_GB2312" w:eastAsia="仿宋_GB2312" w:hAnsiTheme="minorEastAsia"/>
          <w:sz w:val="28"/>
          <w:szCs w:val="28"/>
        </w:rPr>
        <w:t>为发挥职业教育为社会、行业、企业服务的功能，深度开展产教融合、校企协同育人，为企业培养更多高素质、高技能的技术技能人才，同时也为学生实习、实训、就业提供更大空间。甲乙双方将充分发挥各自优势，共同探索新型校企合作模式、促进产学研用相结合；共同搭建服务平台，提高大学生</w:t>
      </w:r>
      <w:r>
        <w:rPr>
          <w:rFonts w:hint="eastAsia" w:ascii="仿宋_GB2312" w:eastAsia="仿宋_GB2312" w:hAnsiTheme="minorEastAsia"/>
          <w:sz w:val="28"/>
          <w:szCs w:val="28"/>
          <w:lang w:val="en-US" w:eastAsia="zh-CN"/>
        </w:rPr>
        <w:t>就业</w:t>
      </w:r>
      <w:r>
        <w:rPr>
          <w:rFonts w:hint="eastAsia" w:ascii="仿宋_GB2312" w:eastAsia="仿宋_GB2312" w:hAnsiTheme="minorEastAsia"/>
          <w:sz w:val="28"/>
          <w:szCs w:val="28"/>
        </w:rPr>
        <w:t>创业能力，提升高校教学水平和质量。在平等自愿、充分酝酿的基础上，经双方友好协商，现就双方合作相关事宜达成如下协议：</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一、合作原则</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资源共享、优势互补、互动双赢、协同发展。</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二、合作方式及内容</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经双方友好协商，合作方式及内容参照以下条款进行，未尽之处，可做其他补充。</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（一）建立校企合作协同机制，推动合作模式创新发展。</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1.构建适应双方企合作的管理机制。采取定期联席会议机制，根据产业发展方向以及企业人才需求，制定并调整人才培养方案和企业人力资源培训方案的质量标准，为校企合作长效运行提供机制保障。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2.将企业实践与高校教育资源实现有效对接。甲乙双方共建校企合作资源共享平台和合作机制，推进高校与企业（行业、产业）的资源整合，教学相长。</w:t>
      </w:r>
    </w:p>
    <w:p>
      <w:pPr>
        <w:keepNext w:val="0"/>
        <w:keepLines w:val="0"/>
        <w:widowControl/>
        <w:suppressLineNumbers w:val="0"/>
        <w:jc w:val="left"/>
        <w:rPr>
          <w:rFonts w:ascii="仿宋_GB2312" w:eastAsia="仿宋_GB2312" w:hAnsiTheme="minorEastAsia"/>
          <w:sz w:val="28"/>
          <w:szCs w:val="28"/>
        </w:rPr>
      </w:pPr>
      <w:r>
        <w:rPr>
          <w:rFonts w:hint="eastAsia" w:ascii="仿宋_GB2312" w:eastAsia="仿宋_GB2312" w:hAnsiTheme="minorEastAsia"/>
          <w:sz w:val="28"/>
          <w:szCs w:val="28"/>
        </w:rPr>
        <w:t>3.完善双方校企交流机制。促进校企之间人员的交流与学习，让高校教师走进企业，促进学术合作，提升企业创新能力，促进高校知识成果转化；</w:t>
      </w:r>
      <w:r>
        <w:rPr>
          <w:rFonts w:hint="eastAsia" w:ascii="仿宋_GB2312" w:eastAsia="仿宋_GB2312" w:hAnsiTheme="minorEastAsia"/>
          <w:sz w:val="28"/>
          <w:szCs w:val="28"/>
          <w:lang w:val="en-US" w:eastAsia="zh-CN"/>
        </w:rPr>
        <w:t>企业高技能人才、管理人才走进职业院校从教，为职教师资队伍建设注入更多的“源头活水”</w:t>
      </w:r>
      <w:r>
        <w:rPr>
          <w:rFonts w:hint="eastAsia" w:ascii="仿宋_GB2312" w:eastAsia="仿宋_GB2312" w:hAnsiTheme="minorEastAsia"/>
          <w:sz w:val="28"/>
          <w:szCs w:val="28"/>
        </w:rPr>
        <w:t>，促进高校优化课程</w:t>
      </w:r>
      <w:r>
        <w:rPr>
          <w:rFonts w:hint="eastAsia" w:ascii="仿宋_GB2312" w:eastAsia="仿宋_GB2312" w:hAnsiTheme="minorEastAsia"/>
          <w:sz w:val="28"/>
          <w:szCs w:val="28"/>
          <w:lang w:val="en-US" w:eastAsia="zh-CN"/>
        </w:rPr>
        <w:t>建设育教学</w:t>
      </w:r>
      <w:r>
        <w:rPr>
          <w:rFonts w:hint="eastAsia" w:ascii="仿宋_GB2312" w:eastAsia="仿宋_GB2312" w:hAnsiTheme="minorEastAsia"/>
          <w:sz w:val="28"/>
          <w:szCs w:val="28"/>
        </w:rPr>
        <w:t>。</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建立基于互惠多赢的利益驱动机制。通过不断完善保障机制和共享机制，让企业获得服务资源、文化资源和人力资源储备渠道；高校可以因材施教、改革教学理念和方式、提升教学质量；学生可以得到更多就业机会，提高自身能力，促进社会稳定。</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（二）共同建立人才培养基地，探索联合人才培养途径</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双方共建人才培养理论与实践共享基地。将甲方理论教学及实验场所作为乙方人才需求的理论培养基地，将乙方生产、实习和办公场所作为甲方学生实践培养基地，使学生在理论与实践共享基地内除了学习理论知识和实践技能外，还可以接受乙方先进的企业文化、企业管理、企业技术的联合培养，实现校园到社会的无缝衔接，早日实现学以致用，学有所成。（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组建校企合作教学团队。乙方派遣业务水平高、实践经验较丰富的管理及技术人员组成的教学团队，承担以专业方向课程教学、职业素质课程教学、课程实践为主的教学工作，甲乙双方共同承担毕业设计工作。甲方根据乙方的教学团队成员相关资质聘为甲方的客座讲师、副教授或教授，享受与甲方专职教师同等的教学方面的权利和待遇。（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联合建立高技能人才能级提升机制。在联合培养期间，为了适应社会和企业对人才的需求，双方协调办学资源，开展富有特色的高校教育培训合作，共同引进、消化、吸收国内外先进培训理念、培训标准、培训课程、培训内容、培训教材，共同研究、设计并实施符合甲乙双方实际情况的专业人才技能培训计划，获取国家认可甚至国际认可的职业资格证书或技能证书。甲方在师资场地方面给予配套支持。（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4.双方共建联合创新实</w:t>
      </w:r>
      <w:r>
        <w:rPr>
          <w:rFonts w:hint="eastAsia" w:ascii="仿宋_GB2312" w:eastAsia="仿宋_GB2312" w:hAnsiTheme="minorEastAsia"/>
          <w:sz w:val="28"/>
          <w:szCs w:val="28"/>
          <w:lang w:val="en-US" w:eastAsia="zh-CN"/>
        </w:rPr>
        <w:t>训</w:t>
      </w:r>
      <w:r>
        <w:rPr>
          <w:rFonts w:hint="eastAsia" w:ascii="仿宋_GB2312" w:eastAsia="仿宋_GB2312" w:hAnsiTheme="minorEastAsia"/>
          <w:sz w:val="28"/>
          <w:szCs w:val="28"/>
        </w:rPr>
        <w:t>室。甲乙双方通过建立一种稳定的、相互学习、资源共享的新合作模式，将人才培养、科研合作与实验基地建设融合创新，发挥综合实力，除了在科研方面的交流外，还可以在企业文化和校园文化交流方面有更深层次的相互学习，推进培养创新人才。（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5.拓宽学生就业渠道，共同探索有效吸纳高校人才的新模式。甲方将根据乙方人才标准和实际需求设置课程、组织教学，保证人才培养质量。乙方筛选符合岗位需要的优秀毕业生加入乙方。甲方毕业生被聘用后，乙方提供岗位推荐、人事代理、人才落户、职称评定等服务，实现“求学”与“招工”联动。</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6.加强毕业生就业实习管理。双方成立实习指导小组，对学生就业实习情况进行指导和监督，加强对学生的思想教育和职业道德教育，发现问题及时提出解决办法协调用人单位和实习生之间的关系。</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7.合作建立企业人力资源继续教育培训基地。甲方根据乙方人力资源培训的特点及不同培训方向或培训教学的需要，与乙方建立多种合作模式的人力资源继续教育培训基地。 （双方具体合作协议另行签署）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8.双方联合设立法人机构。甲乙双方根据市场需要和人才培养要求，按照国家有关法律法规共同设立法人机构，并按出资比例承担相应的权利和义务。（双方具体合作协议另行签署）</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（四）深入产学实践，促进科技成果转化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推动校企科研合作。双方共同搭建产学研用合作平台，促进高校与企业的科研合作。乙方将接纳甲方选派优秀教师参与乙方科技项目开发、技术援助和学术探讨，并对合作成果进行推广；同时推动企业中高层领导和技术负责人担任甲方客座教授、专业带头人，参与甲方人才培养和教学改革过程。</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联合开展课题攻关和研究合作。在人才培养、产学合作的实践基础上，双方针对出现的新问题、新情况开展调查研究，形成切实可行的思路和办法，不断推动合作机制和服务体系的完善。将积累的经验和工作成果进行提炼，为高校就业创业工作提供参考和支撑。</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联合开展课程及教材开发。甲乙双方以职业能力需求为导向，以提高从事某一职业的专门技术和综合能力为出发点，通过优化课程体系、优化教学过程、优化评价方式，共同开发适合企业用人需求的课程模块、课程内容，以及相配套的课程教材等。</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4.共同申报省市级以上科研项目。甲乙双方可以就共同关心的课题开展联合申报省市级以上科研项目，帮助乙方或其他中小微型企业解决相关的科研难题，促进中小微型企业走健康发展之路。</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三、合作机制和权利义务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（一）合作机制</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1.双方分别确认分管领导负责合作事宜，并明确专门人员负责经常性工作联系。</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2.双方定期进行信息沟通交流，针对具体活动成立工作小组，制定工作计划并负责实施。</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3.各方在本协议基础上，充分开展具体业务和新增业务的合作。如果涉及付费事宜的合作项目，将签署相关合作协议另行约定。</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（二）权利和义务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（1）甲方视乙方为重要的长期战略合作伙伴，为乙方参与学校相关活动提供便利。</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 xml:space="preserve">（2）根据乙方需求，在可能的范围内，提供信息交流、人员对接等支持。 </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（3）对双方共同开展的工作给予监督和指导；</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4）对从乙方处获得或知悉的任何非公开的商业、财务、技术或其他资料或信息（以下简称“保密信息”），在协议期限和延续期限内及本协议终止后始终承担保密义务；未经乙方书面同意不得向第三方披露保密信息，或利用保密信息谋取利益；</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2.乙方的权利和义务</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（1）乙方视甲方为重要的长期战略合作伙伴，协助校方做好人才培养、产学合作等服务和指导工作；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（2）在双方合意的基础上，对合作项目开展组织、协调、联络、实施等工作；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（3）在遵守校方校规校纪基础上，开展校园驻点服务，并进行合作项目的市场宣传及推广工作。</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四、争议解决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在执行本协议过程中所发生的争议或与本协议有关的一切争议，首先应由协议各方友好协商解决，若协商不成，提交相关仲裁委员会通过仲裁解决。</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五、协议期限及其他</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1.本协议经双方盖章后生效，协议期限为自生效之日起</w:t>
      </w:r>
      <w:r>
        <w:rPr>
          <w:rFonts w:hint="eastAsia" w:ascii="仿宋_GB2312" w:eastAsia="仿宋_GB2312" w:hAnsiTheme="minorEastAsia"/>
          <w:sz w:val="28"/>
          <w:szCs w:val="28"/>
          <w:lang w:val="en-US" w:eastAsia="zh-CN"/>
        </w:rPr>
        <w:t>五</w:t>
      </w:r>
      <w:r>
        <w:rPr>
          <w:rFonts w:hint="eastAsia" w:ascii="仿宋_GB2312" w:eastAsia="仿宋_GB2312" w:hAnsiTheme="minorEastAsia"/>
          <w:sz w:val="28"/>
          <w:szCs w:val="28"/>
        </w:rPr>
        <w:t>年。协议期限或延续期限届满前一个月，各方协商续签事项，如各方均未以书面形式提出异议，则本协议自动延续壹年。</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2.本协议如有未尽事宜，应本着友好协作的原则协商解决，对其中条款的任何变更、修改和增减，都必须经双方各方协商同意并签署书面文件，作为本协议的组成部份，与本协议具有同等法律效力；</w:t>
      </w:r>
    </w:p>
    <w:p>
      <w:pPr>
        <w:ind w:firstLine="560" w:firstLineChars="200"/>
        <w:rPr>
          <w:rFonts w:ascii="仿宋_GB2312" w:eastAsia="仿宋_GB2312" w:hAnsiTheme="minorEastAsia"/>
          <w:sz w:val="28"/>
          <w:szCs w:val="28"/>
        </w:rPr>
      </w:pPr>
      <w:r>
        <w:rPr>
          <w:rFonts w:hint="eastAsia" w:ascii="仿宋_GB2312" w:eastAsia="仿宋_GB2312" w:hAnsiTheme="minorEastAsia"/>
          <w:sz w:val="28"/>
          <w:szCs w:val="28"/>
        </w:rPr>
        <w:t>3.本协议一式</w:t>
      </w:r>
      <w:r>
        <w:rPr>
          <w:rFonts w:hint="eastAsia" w:ascii="仿宋_GB2312" w:eastAsia="仿宋_GB2312" w:hAnsiTheme="minorEastAsia"/>
          <w:sz w:val="28"/>
          <w:szCs w:val="28"/>
          <w:lang w:val="en-US" w:eastAsia="zh-CN"/>
        </w:rPr>
        <w:t>肆</w:t>
      </w:r>
      <w:r>
        <w:rPr>
          <w:rFonts w:hint="eastAsia" w:ascii="仿宋_GB2312" w:eastAsia="仿宋_GB2312" w:hAnsiTheme="minorEastAsia"/>
          <w:sz w:val="28"/>
          <w:szCs w:val="28"/>
        </w:rPr>
        <w:t>份，甲、乙各执</w:t>
      </w:r>
      <w:r>
        <w:rPr>
          <w:rFonts w:hint="eastAsia" w:ascii="宋体" w:hAnsi="宋体" w:eastAsia="宋体" w:cs="宋体"/>
          <w:sz w:val="28"/>
          <w:szCs w:val="28"/>
          <w:lang w:eastAsia="zh-CN"/>
        </w:rPr>
        <w:t>贰</w:t>
      </w:r>
      <w:r>
        <w:rPr>
          <w:rFonts w:hint="eastAsia" w:ascii="仿宋_GB2312" w:eastAsia="仿宋_GB2312" w:hAnsiTheme="minorEastAsia"/>
          <w:sz w:val="28"/>
          <w:szCs w:val="28"/>
        </w:rPr>
        <w:t>份，具有同等法律效力。</w:t>
      </w:r>
    </w:p>
    <w:tbl>
      <w:tblPr>
        <w:tblStyle w:val="7"/>
        <w:tblW w:w="9747" w:type="dxa"/>
        <w:jc w:val="center"/>
        <w:tblLayout w:type="fixed"/>
        <w:tblCellMar>
          <w:top w:w="0" w:type="dxa"/>
          <w:left w:w="108" w:type="dxa"/>
          <w:bottom w:w="0" w:type="dxa"/>
          <w:right w:w="108" w:type="dxa"/>
        </w:tblCellMar>
      </w:tblPr>
      <w:tblGrid>
        <w:gridCol w:w="5211"/>
        <w:gridCol w:w="4536"/>
      </w:tblGrid>
      <w:tr>
        <w:tblPrEx>
          <w:tblCellMar>
            <w:top w:w="0" w:type="dxa"/>
            <w:left w:w="108" w:type="dxa"/>
            <w:bottom w:w="0" w:type="dxa"/>
            <w:right w:w="108" w:type="dxa"/>
          </w:tblCellMar>
        </w:tblPrEx>
        <w:trPr>
          <w:trHeight w:val="1677" w:hRule="atLeast"/>
          <w:jc w:val="center"/>
        </w:trPr>
        <w:tc>
          <w:tcPr>
            <w:tcW w:w="5211" w:type="dxa"/>
          </w:tcPr>
          <w:p>
            <w:pPr>
              <w:ind w:firstLine="280" w:firstLineChars="100"/>
              <w:jc w:val="left"/>
              <w:rPr>
                <w:rFonts w:ascii="仿宋_GB2312" w:hAnsi="黑体" w:eastAsia="仿宋_GB2312"/>
                <w:bCs/>
                <w:sz w:val="28"/>
                <w:szCs w:val="28"/>
              </w:rPr>
            </w:pPr>
            <w:r>
              <w:rPr>
                <w:rFonts w:hint="eastAsia" w:ascii="仿宋_GB2312" w:hAnsi="黑体" w:eastAsia="仿宋_GB2312"/>
                <w:bCs/>
                <w:sz w:val="28"/>
                <w:szCs w:val="28"/>
              </w:rPr>
              <w:t>甲方：厦门兴才职业技术学院</w:t>
            </w:r>
          </w:p>
          <w:p>
            <w:pPr>
              <w:ind w:firstLine="560" w:firstLineChars="200"/>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c>
          <w:tcPr>
            <w:tcW w:w="4536" w:type="dxa"/>
          </w:tcPr>
          <w:p>
            <w:pPr>
              <w:jc w:val="left"/>
              <w:rPr>
                <w:rFonts w:ascii="仿宋_GB2312" w:hAnsi="黑体" w:eastAsia="仿宋_GB2312"/>
                <w:bCs/>
                <w:sz w:val="28"/>
                <w:szCs w:val="28"/>
              </w:rPr>
            </w:pPr>
            <w:r>
              <w:rPr>
                <w:rFonts w:hint="eastAsia" w:ascii="仿宋_GB2312" w:hAnsi="黑体" w:eastAsia="仿宋_GB2312"/>
                <w:bCs/>
                <w:sz w:val="28"/>
                <w:szCs w:val="28"/>
              </w:rPr>
              <w:t>乙方：</w:t>
            </w:r>
            <w:bookmarkStart w:id="0" w:name="_GoBack"/>
            <w:bookmarkEnd w:id="0"/>
          </w:p>
          <w:p>
            <w:pPr>
              <w:jc w:val="left"/>
              <w:rPr>
                <w:rFonts w:ascii="仿宋_GB2312" w:hAnsi="黑体" w:eastAsia="仿宋_GB2312"/>
                <w:bCs/>
                <w:sz w:val="28"/>
                <w:szCs w:val="28"/>
              </w:rPr>
            </w:pPr>
            <w:r>
              <w:rPr>
                <w:rFonts w:hint="eastAsia" w:ascii="仿宋_GB2312" w:hAnsi="黑体" w:eastAsia="仿宋_GB2312"/>
                <w:bCs/>
                <w:sz w:val="28"/>
                <w:szCs w:val="28"/>
              </w:rPr>
              <w:t>代表（签字）：</w:t>
            </w:r>
          </w:p>
          <w:p>
            <w:pPr>
              <w:ind w:firstLine="1400" w:firstLineChars="500"/>
              <w:jc w:val="left"/>
              <w:rPr>
                <w:rFonts w:ascii="仿宋_GB2312" w:hAnsi="黑体" w:eastAsia="仿宋_GB2312"/>
                <w:bCs/>
                <w:sz w:val="28"/>
                <w:szCs w:val="28"/>
              </w:rPr>
            </w:pPr>
            <w:r>
              <w:rPr>
                <w:rFonts w:hint="eastAsia" w:ascii="仿宋_GB2312" w:hAnsi="黑体" w:eastAsia="仿宋_GB2312"/>
                <w:bCs/>
                <w:sz w:val="28"/>
                <w:szCs w:val="28"/>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5b8bu4f53">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119C3"/>
    <w:rsid w:val="000420E8"/>
    <w:rsid w:val="003D2CAD"/>
    <w:rsid w:val="00623D28"/>
    <w:rsid w:val="006A2A15"/>
    <w:rsid w:val="0F3769F2"/>
    <w:rsid w:val="15F43602"/>
    <w:rsid w:val="27597900"/>
    <w:rsid w:val="2CE4706E"/>
    <w:rsid w:val="30D119C3"/>
    <w:rsid w:val="31A457A1"/>
    <w:rsid w:val="3A2A085E"/>
    <w:rsid w:val="4C2E167A"/>
    <w:rsid w:val="4F5F27B6"/>
    <w:rsid w:val="52E07744"/>
    <w:rsid w:val="7A5E7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32"/>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line="15" w:lineRule="atLeast"/>
      <w:jc w:val="left"/>
    </w:pPr>
    <w:rPr>
      <w:rFonts w:ascii="u5b8bu4f53" w:hAnsi="u5b8bu4f53" w:eastAsia="u5b8bu4f53" w:cs="Times New Roman"/>
      <w:color w:val="333333"/>
      <w:kern w:val="0"/>
      <w:sz w:val="18"/>
      <w:szCs w:val="18"/>
    </w:rPr>
  </w:style>
  <w:style w:type="paragraph" w:styleId="6">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yperlink"/>
    <w:basedOn w:val="9"/>
    <w:qFormat/>
    <w:uiPriority w:val="0"/>
    <w:rPr>
      <w:color w:val="333333"/>
      <w:u w:val="none"/>
    </w:rPr>
  </w:style>
  <w:style w:type="character" w:customStyle="1" w:styleId="13">
    <w:name w:val="item-name"/>
    <w:basedOn w:val="9"/>
    <w:qFormat/>
    <w:uiPriority w:val="0"/>
  </w:style>
  <w:style w:type="character" w:customStyle="1" w:styleId="14">
    <w:name w:val="item-name1"/>
    <w:basedOn w:val="9"/>
    <w:qFormat/>
    <w:uiPriority w:val="0"/>
  </w:style>
  <w:style w:type="character" w:customStyle="1" w:styleId="15">
    <w:name w:val="item-name2"/>
    <w:basedOn w:val="9"/>
    <w:qFormat/>
    <w:uiPriority w:val="0"/>
  </w:style>
  <w:style w:type="character" w:customStyle="1" w:styleId="16">
    <w:name w:val="item-name3"/>
    <w:basedOn w:val="9"/>
    <w:qFormat/>
    <w:uiPriority w:val="0"/>
    <w:rPr>
      <w:vanish/>
    </w:rPr>
  </w:style>
  <w:style w:type="character" w:customStyle="1" w:styleId="17">
    <w:name w:val="item-name4"/>
    <w:basedOn w:val="9"/>
    <w:qFormat/>
    <w:uiPriority w:val="0"/>
    <w:rPr>
      <w:vanish/>
    </w:rPr>
  </w:style>
  <w:style w:type="character" w:customStyle="1" w:styleId="18">
    <w:name w:val="item-name5"/>
    <w:basedOn w:val="9"/>
    <w:qFormat/>
    <w:uiPriority w:val="0"/>
  </w:style>
  <w:style w:type="character" w:customStyle="1" w:styleId="19">
    <w:name w:val="item-name6"/>
    <w:basedOn w:val="9"/>
    <w:qFormat/>
    <w:uiPriority w:val="0"/>
  </w:style>
  <w:style w:type="character" w:customStyle="1" w:styleId="20">
    <w:name w:val="item-name7"/>
    <w:basedOn w:val="9"/>
    <w:qFormat/>
    <w:uiPriority w:val="0"/>
  </w:style>
  <w:style w:type="character" w:customStyle="1" w:styleId="21">
    <w:name w:val="item-name8"/>
    <w:basedOn w:val="9"/>
    <w:qFormat/>
    <w:uiPriority w:val="0"/>
  </w:style>
  <w:style w:type="character" w:customStyle="1" w:styleId="22">
    <w:name w:val="item-name9"/>
    <w:basedOn w:val="9"/>
    <w:qFormat/>
    <w:uiPriority w:val="0"/>
  </w:style>
  <w:style w:type="character" w:customStyle="1" w:styleId="23">
    <w:name w:val="item-name10"/>
    <w:basedOn w:val="9"/>
    <w:qFormat/>
    <w:uiPriority w:val="0"/>
  </w:style>
  <w:style w:type="character" w:customStyle="1" w:styleId="24">
    <w:name w:val="news_title"/>
    <w:basedOn w:val="9"/>
    <w:qFormat/>
    <w:uiPriority w:val="0"/>
  </w:style>
  <w:style w:type="character" w:customStyle="1" w:styleId="25">
    <w:name w:val="news_meta"/>
    <w:basedOn w:val="9"/>
    <w:qFormat/>
    <w:uiPriority w:val="0"/>
  </w:style>
  <w:style w:type="paragraph" w:customStyle="1" w:styleId="26">
    <w:name w:val="arti_metas"/>
    <w:basedOn w:val="1"/>
    <w:qFormat/>
    <w:uiPriority w:val="0"/>
    <w:pPr>
      <w:jc w:val="center"/>
    </w:pPr>
    <w:rPr>
      <w:rFonts w:cs="Times New Roman"/>
      <w:kern w:val="0"/>
    </w:rPr>
  </w:style>
  <w:style w:type="character" w:customStyle="1" w:styleId="27">
    <w:name w:val="column-name12"/>
    <w:basedOn w:val="9"/>
    <w:qFormat/>
    <w:uiPriority w:val="0"/>
    <w:rPr>
      <w:color w:val="124D83"/>
    </w:rPr>
  </w:style>
  <w:style w:type="character" w:customStyle="1" w:styleId="28">
    <w:name w:val="column-name13"/>
    <w:basedOn w:val="9"/>
    <w:qFormat/>
    <w:uiPriority w:val="0"/>
    <w:rPr>
      <w:color w:val="124D83"/>
    </w:rPr>
  </w:style>
  <w:style w:type="character" w:customStyle="1" w:styleId="29">
    <w:name w:val="column-name14"/>
    <w:basedOn w:val="9"/>
    <w:qFormat/>
    <w:uiPriority w:val="0"/>
    <w:rPr>
      <w:color w:val="124D83"/>
    </w:rPr>
  </w:style>
  <w:style w:type="character" w:customStyle="1" w:styleId="30">
    <w:name w:val="column-name15"/>
    <w:basedOn w:val="9"/>
    <w:qFormat/>
    <w:uiPriority w:val="0"/>
    <w:rPr>
      <w:color w:val="124D83"/>
    </w:rPr>
  </w:style>
  <w:style w:type="character" w:customStyle="1" w:styleId="31">
    <w:name w:val="column-name16"/>
    <w:basedOn w:val="9"/>
    <w:qFormat/>
    <w:uiPriority w:val="0"/>
    <w:rPr>
      <w:color w:val="124D83"/>
    </w:rPr>
  </w:style>
  <w:style w:type="character" w:customStyle="1" w:styleId="32">
    <w:name w:val="页眉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473</Words>
  <Characters>2699</Characters>
  <Lines>22</Lines>
  <Paragraphs>6</Paragraphs>
  <TotalTime>0</TotalTime>
  <ScaleCrop>false</ScaleCrop>
  <LinksUpToDate>false</LinksUpToDate>
  <CharactersWithSpaces>3166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2017-04-14T02:18:00Z</dcterms:created>
  <dc:creator>施春生</dc:creator>
  <cp:lastModifiedBy>Administrator</cp:lastModifiedBy>
  <dcterms:modified xsi:type="dcterms:W3CDTF">2024-09-01T04:36:01Z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